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C2DA" w14:textId="6CCDEA7D" w:rsidR="00C3411E" w:rsidRDefault="00C3411E" w:rsidP="00C3411E">
      <w:pPr>
        <w:jc w:val="both"/>
        <w:rPr>
          <w:rFonts w:ascii="Tahoma" w:hAnsi="Tahoma" w:cs="Tahoma"/>
          <w:b/>
          <w:bCs/>
          <w:lang w:val="ro-RO"/>
        </w:rPr>
      </w:pPr>
      <w:r w:rsidRPr="00C43337">
        <w:rPr>
          <w:rFonts w:ascii="Tahoma" w:hAnsi="Tahoma" w:cs="Tahoma"/>
          <w:b/>
          <w:bCs/>
          <w:lang w:val="ro-RO"/>
        </w:rPr>
        <w:t>Modificarea circumstanţelo</w:t>
      </w:r>
      <w:r w:rsidR="00205CF7">
        <w:rPr>
          <w:rFonts w:ascii="Tahoma" w:hAnsi="Tahoma" w:cs="Tahoma"/>
          <w:b/>
          <w:bCs/>
          <w:lang w:val="ro-RO"/>
        </w:rPr>
        <w:t>r</w:t>
      </w:r>
    </w:p>
    <w:p w14:paraId="069968B9" w14:textId="020CD4CC" w:rsidR="00C3411E" w:rsidRPr="00DF6918" w:rsidRDefault="00C3411E" w:rsidP="00C3411E">
      <w:pPr>
        <w:rPr>
          <w:rFonts w:ascii="Tahoma" w:hAnsi="Tahoma" w:cs="Tahoma"/>
          <w:b/>
          <w:bCs/>
          <w:lang w:val="ro-RO"/>
        </w:rPr>
      </w:pPr>
      <w:r w:rsidRPr="00F72DE3">
        <w:rPr>
          <w:rFonts w:ascii="Tahoma" w:hAnsi="Tahoma" w:cs="Tahoma"/>
          <w:b/>
          <w:bCs/>
          <w:highlight w:val="lightGray"/>
          <w:lang w:val="ro-RO"/>
        </w:rPr>
        <w:t xml:space="preserve">Text </w:t>
      </w:r>
      <w:r>
        <w:rPr>
          <w:rFonts w:ascii="Tahoma" w:hAnsi="Tahoma" w:cs="Tahoma"/>
          <w:b/>
          <w:bCs/>
          <w:highlight w:val="lightGray"/>
          <w:lang w:val="ro-RO"/>
        </w:rPr>
        <w:t xml:space="preserve"> nou </w:t>
      </w:r>
      <w:r w:rsidRPr="00F72DE3">
        <w:rPr>
          <w:rFonts w:ascii="Tahoma" w:hAnsi="Tahoma" w:cs="Tahoma"/>
          <w:b/>
          <w:bCs/>
          <w:highlight w:val="lightGray"/>
          <w:lang w:val="ro-RO"/>
        </w:rPr>
        <w:t>propus</w:t>
      </w:r>
    </w:p>
    <w:p w14:paraId="02F7A456" w14:textId="77777777" w:rsidR="00C3411E" w:rsidRPr="00C43337" w:rsidRDefault="00C3411E" w:rsidP="00C3411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29</w:t>
      </w:r>
      <w:r w:rsidRPr="00C43337">
        <w:rPr>
          <w:rFonts w:ascii="Tahoma" w:hAnsi="Tahoma" w:cs="Tahoma"/>
          <w:b/>
          <w:bCs/>
          <w:sz w:val="22"/>
          <w:szCs w:val="22"/>
          <w:lang w:val="ro-RO"/>
        </w:rPr>
        <w:t xml:space="preserve">. </w:t>
      </w:r>
    </w:p>
    <w:p w14:paraId="277CC87B" w14:textId="4878F01E" w:rsidR="00C3411E" w:rsidRPr="00F72DE3" w:rsidRDefault="00C3411E" w:rsidP="00C3411E">
      <w:pPr>
        <w:jc w:val="both"/>
        <w:rPr>
          <w:rFonts w:ascii="Tahoma" w:hAnsi="Tahoma" w:cs="Tahoma"/>
          <w:lang w:val="ro-RO"/>
        </w:rPr>
      </w:pPr>
      <w:r w:rsidRPr="00F72DE3">
        <w:rPr>
          <w:rFonts w:ascii="Tahoma" w:hAnsi="Tahoma" w:cs="Tahoma"/>
          <w:b/>
          <w:bCs/>
          <w:lang w:val="ro-RO"/>
        </w:rPr>
        <w:t>(1)</w:t>
      </w:r>
      <w:r>
        <w:rPr>
          <w:rFonts w:ascii="Tahoma" w:hAnsi="Tahoma" w:cs="Tahoma"/>
          <w:lang w:val="ro-RO"/>
        </w:rPr>
        <w:tab/>
      </w:r>
      <w:r w:rsidRPr="00F72DE3">
        <w:rPr>
          <w:rFonts w:ascii="Tahoma" w:hAnsi="Tahoma" w:cs="Tahoma"/>
          <w:lang w:val="ro-RO"/>
        </w:rPr>
        <w:t xml:space="preserve">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 </w:t>
      </w:r>
    </w:p>
    <w:p w14:paraId="7923EAAD" w14:textId="77777777" w:rsidR="00C3411E" w:rsidRPr="00F72DE3" w:rsidRDefault="00C3411E" w:rsidP="00C3411E">
      <w:pPr>
        <w:jc w:val="both"/>
        <w:rPr>
          <w:rFonts w:ascii="Tahoma" w:hAnsi="Tahoma" w:cs="Tahoma"/>
          <w:lang w:val="ro-RO"/>
        </w:rPr>
      </w:pPr>
      <w:r w:rsidRPr="00F72DE3">
        <w:rPr>
          <w:rFonts w:ascii="Tahoma" w:hAnsi="Tahoma" w:cs="Tahoma"/>
          <w:b/>
          <w:bCs/>
          <w:lang w:val="ro-RO"/>
        </w:rPr>
        <w:t>(2)</w:t>
      </w:r>
      <w:r w:rsidRPr="00F72DE3">
        <w:rPr>
          <w:rFonts w:ascii="Tahoma" w:hAnsi="Tahoma" w:cs="Tahoma"/>
          <w:lang w:val="ro-RO"/>
        </w:rPr>
        <w:tab/>
        <w:t xml:space="preserve">Modificarea circumstanţelor se va reflecta prin acte adiţionale încheiate între Părţi numai dacă actele normative sau reglementările ANRE respective impun în mod expres încheierea de acte adiționale la Contract pentru reflectarea noilor reglementări. </w:t>
      </w:r>
    </w:p>
    <w:p w14:paraId="71EEE070" w14:textId="77777777" w:rsidR="00C3411E" w:rsidRPr="00F72DE3" w:rsidRDefault="00C3411E" w:rsidP="00C3411E">
      <w:pPr>
        <w:jc w:val="both"/>
        <w:rPr>
          <w:rFonts w:ascii="Tahoma" w:hAnsi="Tahoma" w:cs="Tahoma"/>
          <w:lang w:val="ro-RO"/>
        </w:rPr>
      </w:pPr>
      <w:r w:rsidRPr="00F72DE3">
        <w:rPr>
          <w:rFonts w:ascii="Tahoma" w:hAnsi="Tahoma" w:cs="Tahoma"/>
          <w:lang w:val="ro-RO"/>
        </w:rPr>
        <w:t>Astfel, taxele/tarifele nou introduse și/sau modificările aduse celor existente se vor aplica în mod direct începând cu data menționată în noul act normativ sau în noua reglementare ANRE ca dată de aplicare.</w:t>
      </w:r>
    </w:p>
    <w:p w14:paraId="7425109C" w14:textId="77777777" w:rsidR="00C3411E" w:rsidRPr="00F72DE3" w:rsidRDefault="00C3411E" w:rsidP="00C3411E">
      <w:pPr>
        <w:jc w:val="both"/>
        <w:rPr>
          <w:rFonts w:ascii="Tahoma" w:hAnsi="Tahoma" w:cs="Tahoma"/>
          <w:lang w:val="ro-RO"/>
        </w:rPr>
      </w:pPr>
      <w:r w:rsidRPr="00F72DE3">
        <w:rPr>
          <w:rFonts w:ascii="Tahoma" w:hAnsi="Tahoma" w:cs="Tahoma"/>
          <w:b/>
          <w:bCs/>
          <w:lang w:val="ro-RO"/>
        </w:rPr>
        <w:t>(3)</w:t>
      </w:r>
      <w:r w:rsidRPr="00F72DE3">
        <w:rPr>
          <w:rFonts w:ascii="Tahoma" w:hAnsi="Tahoma" w:cs="Tahoma"/>
          <w:lang w:val="ro-RO"/>
        </w:rPr>
        <w:tab/>
        <w:t>Pentru evitarea oricărui dubiu</w:t>
      </w:r>
      <w:r>
        <w:rPr>
          <w:rFonts w:ascii="Tahoma" w:hAnsi="Tahoma" w:cs="Tahoma"/>
          <w:lang w:val="ro-RO"/>
        </w:rPr>
        <w:t>,</w:t>
      </w:r>
      <w:r w:rsidRPr="00F72DE3">
        <w:rPr>
          <w:rFonts w:ascii="Tahoma" w:hAnsi="Tahoma" w:cs="Tahoma"/>
          <w:lang w:val="ro-RO"/>
        </w:rPr>
        <w:t xml:space="preserve"> variațiile de preț ale energiei electrice din piață nu reprezintă modificare de circumstanțe, în sensul articolului 1271 din Codul Civil.</w:t>
      </w:r>
    </w:p>
    <w:p w14:paraId="4CFB2E7A" w14:textId="77777777" w:rsidR="00C3411E" w:rsidRDefault="00C3411E" w:rsidP="00C3411E">
      <w:pPr>
        <w:jc w:val="both"/>
        <w:rPr>
          <w:rFonts w:ascii="Tahoma" w:hAnsi="Tahoma" w:cs="Tahoma"/>
          <w:lang w:val="ro-RO"/>
        </w:rPr>
      </w:pPr>
      <w:r w:rsidRPr="00F72DE3">
        <w:rPr>
          <w:rFonts w:ascii="Tahoma" w:hAnsi="Tahoma" w:cs="Tahoma"/>
          <w:b/>
          <w:bCs/>
          <w:lang w:val="ro-RO"/>
        </w:rPr>
        <w:t>(4)</w:t>
      </w:r>
      <w:r w:rsidRPr="00F72DE3">
        <w:rPr>
          <w:rFonts w:ascii="Tahoma" w:hAnsi="Tahoma" w:cs="Tahoma"/>
          <w:lang w:val="ro-RO"/>
        </w:rPr>
        <w:tab/>
        <w:t>În situația în care Contractul va fi denunțat de către administratorul judiciar al uneia dintre Părți, conform art. 123 alin (1) din Legea nr. 85/2014 privind procedurile de insolvență și de prevenire a insolvenței, cealaltă Parte va avea dreptul de a primi despăgubiri, constând în compensații bănești calculate în modalitatea arătată la art. 26.</w:t>
      </w:r>
    </w:p>
    <w:p w14:paraId="0C329D64" w14:textId="2799E196" w:rsidR="00C3411E" w:rsidRDefault="00C3411E" w:rsidP="00C3411E">
      <w:pPr>
        <w:rPr>
          <w:rFonts w:ascii="Tahoma" w:hAnsi="Tahoma" w:cs="Tahoma"/>
          <w:b/>
          <w:bCs/>
          <w:lang w:val="ro-RO"/>
        </w:rPr>
      </w:pPr>
      <w:r w:rsidRPr="00F72DE3">
        <w:rPr>
          <w:rFonts w:ascii="Tahoma" w:hAnsi="Tahoma" w:cs="Tahoma"/>
          <w:b/>
          <w:bCs/>
          <w:highlight w:val="lightGray"/>
          <w:lang w:val="ro-RO"/>
        </w:rPr>
        <w:t xml:space="preserve">Text </w:t>
      </w:r>
      <w:r>
        <w:rPr>
          <w:rFonts w:ascii="Tahoma" w:hAnsi="Tahoma" w:cs="Tahoma"/>
          <w:b/>
          <w:bCs/>
          <w:highlight w:val="lightGray"/>
          <w:lang w:val="ro-RO"/>
        </w:rPr>
        <w:t>aplicabil în prezent</w:t>
      </w:r>
      <w:r w:rsidRPr="00F72DE3">
        <w:rPr>
          <w:rFonts w:ascii="Tahoma" w:hAnsi="Tahoma" w:cs="Tahoma"/>
          <w:b/>
          <w:bCs/>
          <w:highlight w:val="lightGray"/>
          <w:lang w:val="ro-RO"/>
        </w:rPr>
        <w:t xml:space="preserve"> </w:t>
      </w:r>
    </w:p>
    <w:p w14:paraId="4CB1D87E" w14:textId="77777777" w:rsidR="00F72DE3" w:rsidRPr="00C43337" w:rsidRDefault="00F72DE3" w:rsidP="00F72DE3">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29</w:t>
      </w:r>
      <w:r w:rsidRPr="00C43337">
        <w:rPr>
          <w:rFonts w:ascii="Tahoma" w:hAnsi="Tahoma" w:cs="Tahoma"/>
          <w:b/>
          <w:bCs/>
          <w:sz w:val="22"/>
          <w:szCs w:val="22"/>
          <w:lang w:val="ro-RO"/>
        </w:rPr>
        <w:t xml:space="preserve">. </w:t>
      </w:r>
    </w:p>
    <w:p w14:paraId="69753EE7" w14:textId="77777777" w:rsidR="00DF6918" w:rsidRPr="00C43337" w:rsidRDefault="00DF6918" w:rsidP="00DF6918">
      <w:pPr>
        <w:pStyle w:val="BodyText"/>
        <w:numPr>
          <w:ilvl w:val="0"/>
          <w:numId w:val="1"/>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 xml:space="preserve">În sensul prezentului contract, „modificare de circumstanţe” semnifică </w:t>
      </w:r>
      <w:r>
        <w:rPr>
          <w:rFonts w:ascii="Tahoma" w:hAnsi="Tahoma" w:cs="Tahoma"/>
          <w:sz w:val="22"/>
          <w:szCs w:val="22"/>
          <w:lang w:val="ro-RO"/>
        </w:rPr>
        <w:t>intrarea î</w:t>
      </w:r>
      <w:r w:rsidRPr="007A75BD">
        <w:rPr>
          <w:rFonts w:ascii="Tahoma" w:hAnsi="Tahoma" w:cs="Tahoma"/>
          <w:sz w:val="22"/>
          <w:szCs w:val="22"/>
          <w:lang w:val="ro-RO"/>
        </w:rPr>
        <w:t>n vigoare a unor</w:t>
      </w:r>
      <w:r w:rsidRPr="00C43337">
        <w:rPr>
          <w:rFonts w:ascii="Tahoma" w:hAnsi="Tahoma" w:cs="Tahoma"/>
          <w:sz w:val="22"/>
          <w:szCs w:val="22"/>
          <w:lang w:val="ro-RO"/>
        </w:rPr>
        <w:t xml:space="preserve"> acte normative şi reglementări</w:t>
      </w:r>
      <w:r>
        <w:rPr>
          <w:rFonts w:ascii="Tahoma" w:hAnsi="Tahoma" w:cs="Tahoma"/>
          <w:sz w:val="22"/>
          <w:szCs w:val="22"/>
          <w:lang w:val="ro-RO"/>
        </w:rPr>
        <w:t xml:space="preserve"> aplicabile î</w:t>
      </w:r>
      <w:r w:rsidRPr="007A75BD">
        <w:rPr>
          <w:rFonts w:ascii="Tahoma" w:hAnsi="Tahoma" w:cs="Tahoma"/>
          <w:sz w:val="22"/>
          <w:szCs w:val="22"/>
          <w:lang w:val="ro-RO"/>
        </w:rPr>
        <w:t>n Rom</w:t>
      </w:r>
      <w:r>
        <w:rPr>
          <w:rFonts w:ascii="Tahoma" w:hAnsi="Tahoma" w:cs="Tahoma"/>
          <w:sz w:val="22"/>
          <w:szCs w:val="22"/>
          <w:lang w:val="ro-RO"/>
        </w:rPr>
        <w:t>â</w:t>
      </w:r>
      <w:r w:rsidRPr="007A75BD">
        <w:rPr>
          <w:rFonts w:ascii="Tahoma" w:hAnsi="Tahoma" w:cs="Tahoma"/>
          <w:sz w:val="22"/>
          <w:szCs w:val="22"/>
          <w:lang w:val="ro-RO"/>
        </w:rPr>
        <w:t>nia</w:t>
      </w:r>
      <w:r w:rsidRPr="00C43337">
        <w:rPr>
          <w:rFonts w:ascii="Tahoma" w:hAnsi="Tahoma" w:cs="Tahoma"/>
          <w:sz w:val="22"/>
          <w:szCs w:val="22"/>
          <w:lang w:val="ro-RO"/>
        </w:rPr>
        <w:t xml:space="preserve">, </w:t>
      </w:r>
      <w:r>
        <w:rPr>
          <w:rFonts w:ascii="Tahoma" w:hAnsi="Tahoma" w:cs="Tahoma"/>
          <w:sz w:val="22"/>
          <w:szCs w:val="22"/>
          <w:lang w:val="ro-RO"/>
        </w:rPr>
        <w:t xml:space="preserve">ce </w:t>
      </w:r>
      <w:r w:rsidRPr="009C7A54">
        <w:rPr>
          <w:rFonts w:ascii="Tahoma" w:hAnsi="Tahoma" w:cs="Tahoma"/>
          <w:sz w:val="22"/>
          <w:szCs w:val="22"/>
          <w:lang w:val="ro-RO"/>
        </w:rPr>
        <w:t>modifică şi</w:t>
      </w:r>
      <w:r w:rsidRPr="00C43337">
        <w:rPr>
          <w:rFonts w:ascii="Tahoma" w:hAnsi="Tahoma" w:cs="Tahoma"/>
          <w:sz w:val="22"/>
          <w:szCs w:val="22"/>
          <w:lang w:val="ro-RO"/>
        </w:rPr>
        <w:t xml:space="preserve">/sau abrogă acte normative şi reglementări incidente, existente </w:t>
      </w:r>
      <w:r>
        <w:rPr>
          <w:rFonts w:ascii="Tahoma" w:hAnsi="Tahoma" w:cs="Tahoma"/>
          <w:sz w:val="22"/>
          <w:szCs w:val="22"/>
          <w:lang w:val="ro-RO"/>
        </w:rPr>
        <w:t xml:space="preserve">la </w:t>
      </w:r>
      <w:r w:rsidRPr="00C43337">
        <w:rPr>
          <w:rFonts w:ascii="Tahoma" w:hAnsi="Tahoma" w:cs="Tahoma"/>
          <w:sz w:val="22"/>
          <w:szCs w:val="22"/>
          <w:lang w:val="ro-RO"/>
        </w:rPr>
        <w:t xml:space="preserve">Data de intrare în vigoare a prezentului contract. </w:t>
      </w:r>
    </w:p>
    <w:p w14:paraId="51FB094C" w14:textId="77777777" w:rsidR="00DF6918" w:rsidRPr="006C22BF" w:rsidRDefault="00DF6918" w:rsidP="00DF6918">
      <w:pPr>
        <w:pStyle w:val="BodyText"/>
        <w:numPr>
          <w:ilvl w:val="0"/>
          <w:numId w:val="1"/>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Modificarea circumstanţelor se va reflecta prin acte adiţionale încheiate între părţi.</w:t>
      </w:r>
      <w:r w:rsidRPr="0022363D">
        <w:rPr>
          <w:rFonts w:ascii="Tahoma" w:hAnsi="Tahoma" w:cs="Tahoma"/>
          <w:sz w:val="22"/>
          <w:szCs w:val="22"/>
          <w:lang w:val="ro-RO"/>
        </w:rPr>
        <w:t xml:space="preserve"> </w:t>
      </w:r>
    </w:p>
    <w:p w14:paraId="51DE871E" w14:textId="0CF33B54" w:rsidR="00DF6918" w:rsidRDefault="00DF6918">
      <w:pPr>
        <w:rPr>
          <w:rFonts w:ascii="Tahoma" w:hAnsi="Tahoma" w:cs="Tahoma"/>
          <w:lang w:val="ro-RO"/>
        </w:rPr>
      </w:pPr>
    </w:p>
    <w:p w14:paraId="6A37AC40" w14:textId="77777777" w:rsidR="00C3411E" w:rsidRDefault="00C3411E">
      <w:pPr>
        <w:rPr>
          <w:rFonts w:ascii="Tahoma" w:hAnsi="Tahoma" w:cs="Tahoma"/>
          <w:lang w:val="ro-RO"/>
        </w:rPr>
      </w:pPr>
    </w:p>
    <w:p w14:paraId="3B01B978" w14:textId="77777777" w:rsidR="00C3411E" w:rsidRPr="00C43337" w:rsidRDefault="00C3411E" w:rsidP="00C3411E">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Forţa Majoră</w:t>
      </w:r>
    </w:p>
    <w:p w14:paraId="355EEF82" w14:textId="1011C2DA" w:rsidR="00C3411E" w:rsidRPr="00DF6918" w:rsidRDefault="00C3411E" w:rsidP="00C3411E">
      <w:pPr>
        <w:rPr>
          <w:rFonts w:ascii="Tahoma" w:hAnsi="Tahoma" w:cs="Tahoma"/>
          <w:b/>
          <w:bCs/>
          <w:lang w:val="ro-RO"/>
        </w:rPr>
      </w:pPr>
      <w:r w:rsidRPr="00F72DE3">
        <w:rPr>
          <w:rFonts w:ascii="Tahoma" w:hAnsi="Tahoma" w:cs="Tahoma"/>
          <w:b/>
          <w:bCs/>
          <w:highlight w:val="lightGray"/>
          <w:lang w:val="ro-RO"/>
        </w:rPr>
        <w:t xml:space="preserve">Text </w:t>
      </w:r>
      <w:r>
        <w:rPr>
          <w:rFonts w:ascii="Tahoma" w:hAnsi="Tahoma" w:cs="Tahoma"/>
          <w:b/>
          <w:bCs/>
          <w:highlight w:val="lightGray"/>
          <w:lang w:val="ro-RO"/>
        </w:rPr>
        <w:t xml:space="preserve">nou </w:t>
      </w:r>
      <w:r w:rsidRPr="00F72DE3">
        <w:rPr>
          <w:rFonts w:ascii="Tahoma" w:hAnsi="Tahoma" w:cs="Tahoma"/>
          <w:b/>
          <w:bCs/>
          <w:highlight w:val="lightGray"/>
          <w:lang w:val="ro-RO"/>
        </w:rPr>
        <w:t>propus</w:t>
      </w:r>
    </w:p>
    <w:p w14:paraId="16170ED1" w14:textId="77777777" w:rsidR="00C3411E" w:rsidRDefault="00C3411E" w:rsidP="00C3411E">
      <w:pPr>
        <w:jc w:val="both"/>
        <w:rPr>
          <w:rFonts w:ascii="Tahoma" w:hAnsi="Tahoma" w:cs="Tahoma"/>
          <w:b/>
          <w:bCs/>
          <w:lang w:val="ro-RO"/>
        </w:rPr>
      </w:pPr>
      <w:r w:rsidRPr="00C43337">
        <w:rPr>
          <w:rFonts w:ascii="Tahoma" w:hAnsi="Tahoma" w:cs="Tahoma"/>
          <w:b/>
          <w:bCs/>
          <w:lang w:val="ro-RO"/>
        </w:rPr>
        <w:t xml:space="preserve">Art. </w:t>
      </w:r>
      <w:r>
        <w:rPr>
          <w:rFonts w:ascii="Tahoma" w:hAnsi="Tahoma" w:cs="Tahoma"/>
          <w:b/>
          <w:bCs/>
          <w:lang w:val="ro-RO"/>
        </w:rPr>
        <w:t>30.</w:t>
      </w:r>
    </w:p>
    <w:p w14:paraId="0DA0316F" w14:textId="77777777" w:rsidR="00C3411E" w:rsidRPr="008C2CCF" w:rsidRDefault="00C3411E" w:rsidP="00C3411E">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t xml:space="preserve">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 </w:t>
      </w:r>
    </w:p>
    <w:p w14:paraId="55952A11" w14:textId="77777777" w:rsidR="00C3411E" w:rsidRPr="008C2CCF" w:rsidRDefault="00C3411E" w:rsidP="00C3411E">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lastRenderedPageBreak/>
        <w:t xml:space="preserve">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 </w:t>
      </w:r>
    </w:p>
    <w:p w14:paraId="567BB799" w14:textId="77777777" w:rsidR="00C3411E" w:rsidRPr="008C2CCF" w:rsidRDefault="00C3411E" w:rsidP="00C3411E">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633F5839" w14:textId="5715B879" w:rsidR="00C3411E" w:rsidRPr="008C2CCF" w:rsidRDefault="00C3411E" w:rsidP="003D6166">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t xml:space="preserve">Părţile sunt exonerate de orice răspundere pentru neîndeplinirea parţială sau totală a obligaţiilor ce decurg din acest contract, dacă aceasta este rezultatul acţiunii Forţei Majore. În cazul în care Vânzătorul este descărcat de obligațiile de livrare din cauza </w:t>
      </w:r>
      <w:r w:rsidR="003D6166">
        <w:rPr>
          <w:rFonts w:ascii="Tahoma" w:eastAsia="Calibri" w:hAnsi="Tahoma" w:cs="Tahoma"/>
          <w:lang w:val="ro-RO"/>
        </w:rPr>
        <w:t>C</w:t>
      </w:r>
      <w:r w:rsidRPr="008C2CCF">
        <w:rPr>
          <w:rFonts w:ascii="Tahoma" w:eastAsia="Calibri" w:hAnsi="Tahoma" w:cs="Tahoma"/>
          <w:lang w:val="ro-RO"/>
        </w:rPr>
        <w:t>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10287547" w14:textId="77777777" w:rsidR="00C3411E" w:rsidRPr="008C2CCF" w:rsidRDefault="00C3411E" w:rsidP="00C3411E">
      <w:pPr>
        <w:numPr>
          <w:ilvl w:val="0"/>
          <w:numId w:val="2"/>
        </w:numPr>
        <w:spacing w:after="0" w:line="240" w:lineRule="auto"/>
        <w:contextualSpacing/>
        <w:jc w:val="both"/>
        <w:rPr>
          <w:rFonts w:ascii="Tahoma" w:eastAsia="Calibri" w:hAnsi="Tahoma" w:cs="Tahoma"/>
          <w:lang w:val="ro-RO"/>
        </w:rPr>
      </w:pPr>
      <w:r w:rsidRPr="008C2CCF">
        <w:rPr>
          <w:rFonts w:ascii="Tahoma" w:eastAsia="Calibri" w:hAnsi="Tahoma" w:cs="Tahoma"/>
          <w:lang w:val="ro-RO"/>
        </w:rPr>
        <w:t>Părțile se angajează să-și îndeplinească toate obligațiile care au luat naștere pe perioada de derulare a contractului până la apariția evenimentului de forță majoră.</w:t>
      </w:r>
    </w:p>
    <w:p w14:paraId="7B27CDDA" w14:textId="77777777" w:rsidR="00C3411E" w:rsidRPr="008C2CCF" w:rsidRDefault="00C3411E" w:rsidP="00C3411E">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t xml:space="preserve">Partea care invocă Forţa Majoră trebuie să notifice acest lucru în scris celeilalte Părţi </w:t>
      </w:r>
      <w:r w:rsidRPr="008C2CCF">
        <w:rPr>
          <w:rFonts w:ascii="Tahoma" w:eastAsia="Calibri" w:hAnsi="Tahoma" w:cs="Tahoma"/>
        </w:rPr>
        <w:t xml:space="preserve"> imediat dar nu mai t</w:t>
      </w:r>
      <w:r w:rsidRPr="008C2CCF">
        <w:rPr>
          <w:rFonts w:ascii="Tahoma" w:eastAsia="Calibri" w:hAnsi="Tahoma" w:cs="Tahoma"/>
          <w:lang w:val="ro-RO"/>
        </w:rPr>
        <w: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p>
    <w:p w14:paraId="411112B7" w14:textId="77777777" w:rsidR="00C3411E" w:rsidRPr="008C2CCF" w:rsidRDefault="00C3411E" w:rsidP="00C3411E">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4707CD52" w14:textId="77777777" w:rsidR="00C3411E" w:rsidRPr="008C2CCF" w:rsidRDefault="00C3411E" w:rsidP="00C3411E">
      <w:pPr>
        <w:numPr>
          <w:ilvl w:val="0"/>
          <w:numId w:val="2"/>
        </w:numPr>
        <w:spacing w:after="200" w:line="276" w:lineRule="auto"/>
        <w:contextualSpacing/>
        <w:jc w:val="both"/>
        <w:rPr>
          <w:rFonts w:ascii="Tahoma" w:eastAsia="Calibri" w:hAnsi="Tahoma" w:cs="Tahoma"/>
          <w:lang w:val="ro-RO"/>
        </w:rPr>
      </w:pPr>
      <w:r w:rsidRPr="008C2CCF">
        <w:rPr>
          <w:rFonts w:ascii="Tahoma" w:eastAsia="Calibri" w:hAnsi="Tahoma" w:cs="Tahoma"/>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115CB0A3" w14:textId="77777777" w:rsidR="00C3411E" w:rsidRPr="008C2CCF" w:rsidRDefault="00C3411E" w:rsidP="00C3411E">
      <w:pPr>
        <w:numPr>
          <w:ilvl w:val="0"/>
          <w:numId w:val="2"/>
        </w:numPr>
        <w:spacing w:after="0" w:line="240" w:lineRule="auto"/>
        <w:contextualSpacing/>
        <w:jc w:val="both"/>
        <w:rPr>
          <w:rFonts w:ascii="Tahoma" w:eastAsia="Calibri" w:hAnsi="Tahoma" w:cs="Tahoma"/>
          <w:lang w:val="ro-RO"/>
        </w:rPr>
      </w:pPr>
      <w:r w:rsidRPr="008C2CCF">
        <w:rPr>
          <w:rFonts w:ascii="Tahoma" w:eastAsia="Calibri" w:hAnsi="Tahoma" w:cs="Tahoma"/>
          <w:lang w:val="ro-RO"/>
        </w:rPr>
        <w:t>În cazul în care Cazul de Forţă Majoră se prelungeşte pentru mai mult de</w:t>
      </w:r>
      <w:r w:rsidRPr="008C2CCF">
        <w:rPr>
          <w:rFonts w:ascii="Tahoma" w:eastAsia="Calibri" w:hAnsi="Tahoma" w:cs="Tahoma"/>
        </w:rPr>
        <w:t>:</w:t>
      </w:r>
    </w:p>
    <w:p w14:paraId="2BF11BA2" w14:textId="77777777" w:rsidR="00C3411E" w:rsidRPr="008C2CCF" w:rsidRDefault="00C3411E" w:rsidP="00C3411E">
      <w:pPr>
        <w:numPr>
          <w:ilvl w:val="1"/>
          <w:numId w:val="2"/>
        </w:numPr>
        <w:spacing w:after="0" w:line="240" w:lineRule="auto"/>
        <w:contextualSpacing/>
        <w:jc w:val="both"/>
        <w:rPr>
          <w:rFonts w:ascii="Tahoma" w:eastAsia="Calibri" w:hAnsi="Tahoma" w:cs="Tahoma"/>
          <w:lang w:val="ro-RO"/>
        </w:rPr>
      </w:pPr>
      <w:r w:rsidRPr="008C2CCF">
        <w:rPr>
          <w:rFonts w:ascii="Tahoma" w:eastAsia="Calibri" w:hAnsi="Tahoma" w:cs="Tahoma"/>
          <w:lang w:val="ro-RO"/>
        </w:rPr>
        <w:t>treizeci (30) de zile consecutive sau şaizeci (60) de zile adunate pentru contracte anuale</w:t>
      </w:r>
      <w:r w:rsidRPr="008C2CCF">
        <w:rPr>
          <w:rFonts w:ascii="Tahoma" w:eastAsia="Calibri" w:hAnsi="Tahoma" w:cs="Tahoma"/>
        </w:rPr>
        <w:t>;</w:t>
      </w:r>
    </w:p>
    <w:p w14:paraId="5BBDD517" w14:textId="77777777" w:rsidR="00C3411E" w:rsidRPr="008C2CCF" w:rsidRDefault="00C3411E" w:rsidP="00C3411E">
      <w:pPr>
        <w:numPr>
          <w:ilvl w:val="1"/>
          <w:numId w:val="2"/>
        </w:numPr>
        <w:spacing w:after="0" w:line="240" w:lineRule="auto"/>
        <w:contextualSpacing/>
        <w:jc w:val="both"/>
        <w:rPr>
          <w:rFonts w:ascii="Tahoma" w:eastAsia="Calibri" w:hAnsi="Tahoma" w:cs="Tahoma"/>
          <w:lang w:val="ro-RO"/>
        </w:rPr>
      </w:pPr>
      <w:r w:rsidRPr="008C2CCF">
        <w:rPr>
          <w:rFonts w:ascii="Tahoma" w:eastAsia="Calibri" w:hAnsi="Tahoma" w:cs="Tahoma"/>
          <w:lang w:val="ro-RO"/>
        </w:rPr>
        <w:t>cincisprezece (15) zile consecutive sau treizeci (30) de zile adunate pentru contracte semestriale;</w:t>
      </w:r>
    </w:p>
    <w:p w14:paraId="1CA4B8E3" w14:textId="77777777" w:rsidR="00C3411E" w:rsidRPr="008C2CCF" w:rsidRDefault="00C3411E" w:rsidP="00C3411E">
      <w:pPr>
        <w:numPr>
          <w:ilvl w:val="1"/>
          <w:numId w:val="2"/>
        </w:numPr>
        <w:spacing w:after="0" w:line="240" w:lineRule="auto"/>
        <w:contextualSpacing/>
        <w:jc w:val="both"/>
        <w:rPr>
          <w:rFonts w:ascii="Tahoma" w:eastAsia="Calibri" w:hAnsi="Tahoma" w:cs="Tahoma"/>
          <w:lang w:val="ro-RO"/>
        </w:rPr>
      </w:pPr>
      <w:r w:rsidRPr="008C2CCF">
        <w:rPr>
          <w:rFonts w:ascii="Tahoma" w:eastAsia="Calibri" w:hAnsi="Tahoma" w:cs="Tahoma"/>
          <w:lang w:val="ro-RO"/>
        </w:rPr>
        <w:t>șapte (7) zile consecutive sau cincisprezece (15) zile adunate pentru contracte trimestriale;</w:t>
      </w:r>
    </w:p>
    <w:p w14:paraId="765594A8" w14:textId="77777777" w:rsidR="00C3411E" w:rsidRPr="008C2CCF" w:rsidRDefault="00C3411E" w:rsidP="00C3411E">
      <w:pPr>
        <w:numPr>
          <w:ilvl w:val="1"/>
          <w:numId w:val="2"/>
        </w:numPr>
        <w:spacing w:after="0" w:line="240" w:lineRule="auto"/>
        <w:contextualSpacing/>
        <w:jc w:val="both"/>
        <w:rPr>
          <w:rFonts w:ascii="Tahoma" w:eastAsia="Calibri" w:hAnsi="Tahoma" w:cs="Tahoma"/>
          <w:lang w:val="ro-RO"/>
        </w:rPr>
      </w:pPr>
      <w:r w:rsidRPr="008C2CCF">
        <w:rPr>
          <w:rFonts w:ascii="Tahoma" w:eastAsia="Calibri" w:hAnsi="Tahoma" w:cs="Tahoma"/>
          <w:lang w:val="ro-RO"/>
        </w:rPr>
        <w:t>cinci (5) zile adunate pentru contracte lunare;</w:t>
      </w:r>
    </w:p>
    <w:p w14:paraId="4C34FA13" w14:textId="77777777" w:rsidR="00C3411E" w:rsidRDefault="00C3411E" w:rsidP="00C3411E">
      <w:pPr>
        <w:spacing w:after="0" w:line="240" w:lineRule="auto"/>
        <w:ind w:left="720"/>
        <w:contextualSpacing/>
        <w:jc w:val="both"/>
        <w:rPr>
          <w:rFonts w:ascii="Tahoma" w:eastAsia="Calibri" w:hAnsi="Tahoma" w:cs="Tahoma"/>
          <w:lang w:val="ro-RO"/>
        </w:rPr>
      </w:pPr>
    </w:p>
    <w:p w14:paraId="276A8D49" w14:textId="77777777" w:rsidR="00C3411E" w:rsidRPr="008C2CCF" w:rsidRDefault="00C3411E" w:rsidP="00C3411E">
      <w:pPr>
        <w:spacing w:after="0" w:line="240" w:lineRule="auto"/>
        <w:ind w:left="720"/>
        <w:contextualSpacing/>
        <w:jc w:val="both"/>
        <w:rPr>
          <w:rFonts w:ascii="Tahoma" w:eastAsia="Calibri" w:hAnsi="Tahoma" w:cs="Tahoma"/>
          <w:lang w:val="ro-RO"/>
        </w:rPr>
      </w:pPr>
      <w:r w:rsidRPr="008C2CCF">
        <w:rPr>
          <w:rFonts w:ascii="Tahoma" w:eastAsia="Calibri" w:hAnsi="Tahoma" w:cs="Tahoma"/>
          <w:lang w:val="ro-RO"/>
        </w:rPr>
        <w:t>partea care a primit notificarea de Forţă Majoră poate  înceta Contractul fără preaviz și fără plata penalităților prin notificarea celeilalte părți.</w:t>
      </w:r>
    </w:p>
    <w:p w14:paraId="3DBAEFF4" w14:textId="77777777" w:rsidR="00C3411E" w:rsidRPr="008C2CCF" w:rsidRDefault="00C3411E" w:rsidP="00C3411E">
      <w:pPr>
        <w:jc w:val="both"/>
        <w:rPr>
          <w:rFonts w:ascii="Tahoma" w:hAnsi="Tahoma" w:cs="Tahoma"/>
          <w:lang w:val="ro-RO"/>
        </w:rPr>
      </w:pPr>
    </w:p>
    <w:p w14:paraId="2B60D54B" w14:textId="052B2E6E" w:rsidR="00C3411E" w:rsidRDefault="00C3411E" w:rsidP="00C3411E">
      <w:pPr>
        <w:rPr>
          <w:rFonts w:ascii="Tahoma" w:hAnsi="Tahoma" w:cs="Tahoma"/>
          <w:b/>
          <w:bCs/>
          <w:lang w:val="ro-RO"/>
        </w:rPr>
      </w:pPr>
      <w:r w:rsidRPr="00F72DE3">
        <w:rPr>
          <w:rFonts w:ascii="Tahoma" w:hAnsi="Tahoma" w:cs="Tahoma"/>
          <w:b/>
          <w:bCs/>
          <w:highlight w:val="lightGray"/>
          <w:lang w:val="ro-RO"/>
        </w:rPr>
        <w:lastRenderedPageBreak/>
        <w:t xml:space="preserve">Text </w:t>
      </w:r>
      <w:r>
        <w:rPr>
          <w:rFonts w:ascii="Tahoma" w:hAnsi="Tahoma" w:cs="Tahoma"/>
          <w:b/>
          <w:bCs/>
          <w:highlight w:val="lightGray"/>
          <w:lang w:val="ro-RO"/>
        </w:rPr>
        <w:t>aplicabil în prezent</w:t>
      </w:r>
      <w:r w:rsidRPr="00F72DE3">
        <w:rPr>
          <w:rFonts w:ascii="Tahoma" w:hAnsi="Tahoma" w:cs="Tahoma"/>
          <w:b/>
          <w:bCs/>
          <w:highlight w:val="lightGray"/>
          <w:lang w:val="ro-RO"/>
        </w:rPr>
        <w:t xml:space="preserve"> </w:t>
      </w:r>
    </w:p>
    <w:p w14:paraId="7C57C31C" w14:textId="77777777" w:rsidR="00C3411E" w:rsidRDefault="00F72DE3" w:rsidP="00F72DE3">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30</w:t>
      </w:r>
      <w:r w:rsidRPr="006E754E">
        <w:rPr>
          <w:rFonts w:ascii="Tahoma" w:hAnsi="Tahoma" w:cs="Tahoma"/>
          <w:sz w:val="22"/>
          <w:szCs w:val="22"/>
          <w:lang w:val="ro-RO"/>
        </w:rPr>
        <w:t>.</w:t>
      </w:r>
    </w:p>
    <w:p w14:paraId="4F4B2A4D" w14:textId="4DE50F85" w:rsidR="00F72DE3" w:rsidRPr="00C43337" w:rsidRDefault="00F72DE3" w:rsidP="00F72DE3">
      <w:pPr>
        <w:pStyle w:val="BodyText"/>
        <w:spacing w:before="120" w:after="120"/>
        <w:jc w:val="both"/>
        <w:rPr>
          <w:rFonts w:ascii="Tahoma" w:hAnsi="Tahoma" w:cs="Tahoma"/>
          <w:sz w:val="22"/>
          <w:szCs w:val="22"/>
          <w:lang w:val="ro-RO"/>
        </w:rPr>
      </w:pPr>
      <w:r w:rsidRPr="00B24990">
        <w:rPr>
          <w:rFonts w:ascii="Tahoma" w:hAnsi="Tahoma"/>
          <w:sz w:val="22"/>
          <w:lang w:val="ro-RO"/>
        </w:rPr>
        <w:t>(1)</w:t>
      </w:r>
      <w:r w:rsidRPr="00C43337">
        <w:rPr>
          <w:rFonts w:ascii="Tahoma" w:hAnsi="Tahoma" w:cs="Tahoma"/>
          <w:sz w:val="22"/>
          <w:szCs w:val="22"/>
          <w:lang w:val="ro-RO"/>
        </w:rPr>
        <w:t xml:space="preserve"> Părţile sunt exonerate de orice răspundere pentru neîndeplinire</w:t>
      </w:r>
      <w:r w:rsidRPr="00C43337">
        <w:rPr>
          <w:rFonts w:ascii="Tahoma" w:hAnsi="Tahoma" w:cs="Tahoma"/>
          <w:bCs/>
          <w:sz w:val="22"/>
          <w:szCs w:val="22"/>
          <w:lang w:val="ro-RO"/>
        </w:rPr>
        <w:t>a</w:t>
      </w:r>
      <w:r w:rsidRPr="00B24990">
        <w:rPr>
          <w:rFonts w:ascii="Tahoma" w:hAnsi="Tahoma"/>
          <w:sz w:val="22"/>
          <w:lang w:val="ro-RO"/>
        </w:rPr>
        <w:t xml:space="preserve"> </w:t>
      </w:r>
      <w:r w:rsidRPr="00C43337">
        <w:rPr>
          <w:rFonts w:ascii="Tahoma" w:hAnsi="Tahoma" w:cs="Tahoma"/>
          <w:sz w:val="22"/>
          <w:szCs w:val="22"/>
          <w:lang w:val="ro-RO"/>
        </w:rPr>
        <w:t>parţială sau totală a obligaţiilor ce decurg din acest contract, dacă aceasta este rezultatul acţiunii Forţei Majore.</w:t>
      </w:r>
    </w:p>
    <w:p w14:paraId="11A2AE6E" w14:textId="77777777" w:rsidR="00F72DE3" w:rsidRPr="006E754E" w:rsidRDefault="00F72DE3" w:rsidP="00F72DE3">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Pr="00C43337">
        <w:rPr>
          <w:rFonts w:ascii="Tahoma" w:hAnsi="Tahoma" w:cs="Tahoma"/>
          <w:sz w:val="22"/>
          <w:szCs w:val="22"/>
          <w:lang w:val="ro-RO"/>
        </w:rPr>
        <w:t xml:space="preserve">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w:t>
      </w:r>
      <w:r w:rsidRPr="006E754E">
        <w:rPr>
          <w:rFonts w:ascii="Tahoma" w:hAnsi="Tahoma" w:cs="Tahoma"/>
          <w:sz w:val="22"/>
          <w:szCs w:val="22"/>
          <w:lang w:val="ro-RO"/>
        </w:rPr>
        <w:t>rezonabil în afara voinţei şi controlului Părţilor.</w:t>
      </w:r>
    </w:p>
    <w:p w14:paraId="290A7F5D" w14:textId="77777777" w:rsidR="00F72DE3" w:rsidRPr="006E754E" w:rsidRDefault="00F72DE3" w:rsidP="00F72DE3">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(3)</w:t>
      </w:r>
      <w:r w:rsidRPr="006E754E">
        <w:rPr>
          <w:rFonts w:ascii="Tahoma" w:hAnsi="Tahoma" w:cs="Tahoma"/>
          <w:sz w:val="22"/>
          <w:szCs w:val="22"/>
          <w:lang w:val="ro-RO"/>
        </w:rPr>
        <w:t xml:space="preserve"> Partea care invocă Forţa Majoră trebuie să notifice acest lucru în scris celeilalte Părţi în termen de 3 zile de la apariţia acesteia, cu confirmarea organelor competente de la locul producerii evenimentului ce constituie Forţă Majoră şi cu estimarea duratei după care aceasta îşi încetează efectele.</w:t>
      </w:r>
    </w:p>
    <w:p w14:paraId="12C4DE9E" w14:textId="77777777" w:rsidR="00F72DE3" w:rsidRPr="006E754E" w:rsidRDefault="00F72DE3" w:rsidP="00F72DE3">
      <w:pPr>
        <w:pStyle w:val="BodyText"/>
        <w:spacing w:before="120" w:after="120"/>
        <w:jc w:val="both"/>
        <w:rPr>
          <w:rFonts w:ascii="Tahoma" w:hAnsi="Tahoma" w:cs="Tahoma"/>
          <w:sz w:val="22"/>
          <w:szCs w:val="22"/>
          <w:lang w:val="ro-RO"/>
        </w:rPr>
      </w:pPr>
      <w:r w:rsidRPr="00B24990">
        <w:rPr>
          <w:rFonts w:ascii="Tahoma" w:hAnsi="Tahoma"/>
          <w:sz w:val="22"/>
          <w:lang w:val="ro-RO"/>
        </w:rPr>
        <w:t>(4)</w:t>
      </w:r>
      <w:r w:rsidRPr="006E754E">
        <w:rPr>
          <w:rFonts w:ascii="Tahoma" w:hAnsi="Tahoma" w:cs="Tahoma"/>
          <w:sz w:val="22"/>
          <w:szCs w:val="22"/>
          <w:lang w:val="ro-RO"/>
        </w:rPr>
        <w:t xml:space="preserve"> Neîndeplinirea obligaţiei de comunicare a Forţei Majore nu înlătură efectul exonerant de răspundere al acesteia, dar antrenează obligaţia Părţii care o invocă de a repara pagubele cauzate celeilalte Părţi, prin faptul necomunicării.</w:t>
      </w:r>
    </w:p>
    <w:p w14:paraId="259CFFFC" w14:textId="77777777" w:rsidR="00F72DE3" w:rsidRDefault="00F72DE3" w:rsidP="00F72DE3">
      <w:pPr>
        <w:pStyle w:val="BodyText"/>
        <w:spacing w:before="120" w:after="120"/>
        <w:jc w:val="both"/>
        <w:rPr>
          <w:rFonts w:ascii="Tahoma" w:hAnsi="Tahoma" w:cs="Tahoma"/>
          <w:sz w:val="22"/>
          <w:szCs w:val="22"/>
          <w:lang w:val="ro-RO"/>
        </w:rPr>
      </w:pPr>
      <w:r w:rsidRPr="00B24990">
        <w:rPr>
          <w:rFonts w:ascii="Tahoma" w:hAnsi="Tahoma"/>
          <w:sz w:val="22"/>
          <w:lang w:val="ro-RO"/>
        </w:rPr>
        <w:t>(5)</w:t>
      </w:r>
      <w:r w:rsidRPr="006E754E">
        <w:rPr>
          <w:rFonts w:ascii="Tahoma" w:hAnsi="Tahoma" w:cs="Tahoma"/>
          <w:sz w:val="22"/>
          <w:szCs w:val="22"/>
          <w:lang w:val="ro-RO"/>
        </w:rPr>
        <w:t xml:space="preserve"> Perioada de Forţă Majoră se va sfârşi atunci când Partea care a emis notificarea conform alin. (2) emite o nouă notificare prin care anunţă că este capabilă să îşi îndeplinească din nou toate obligaţiile</w:t>
      </w:r>
      <w:r w:rsidRPr="00C43337">
        <w:rPr>
          <w:rFonts w:ascii="Tahoma" w:hAnsi="Tahoma" w:cs="Tahoma"/>
          <w:sz w:val="22"/>
          <w:szCs w:val="22"/>
          <w:lang w:val="ro-RO"/>
        </w:rPr>
        <w:t xml:space="preserve"> ce îi revin prin prezentul Contract şi reia îndeplinirea tuturor obligaţiilor care fac obiectul notificării respective.</w:t>
      </w:r>
    </w:p>
    <w:p w14:paraId="13151CF3" w14:textId="77777777" w:rsidR="00F72DE3" w:rsidRPr="006C22BF" w:rsidRDefault="00F72DE3" w:rsidP="00F72DE3">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În cazul în care situaţia de Forţă Majoră </w:t>
      </w:r>
      <w:r w:rsidRPr="00D74F26">
        <w:rPr>
          <w:rFonts w:ascii="Tahoma" w:hAnsi="Tahoma" w:cs="Tahoma"/>
          <w:sz w:val="22"/>
          <w:szCs w:val="22"/>
          <w:lang w:val="ro-RO"/>
        </w:rPr>
        <w:t>se prelunge</w:t>
      </w:r>
      <w:r>
        <w:rPr>
          <w:rFonts w:ascii="Tahoma" w:hAnsi="Tahoma" w:cs="Tahoma"/>
          <w:sz w:val="22"/>
          <w:szCs w:val="22"/>
          <w:lang w:val="ro-RO"/>
        </w:rPr>
        <w:t>ş</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xml:space="preserve">, partea care a primit notificarea de Forţă Majoră poate </w:t>
      </w:r>
      <w:r w:rsidRPr="009C7A54">
        <w:rPr>
          <w:rFonts w:ascii="Tahoma" w:hAnsi="Tahoma" w:cs="Tahoma"/>
          <w:sz w:val="22"/>
          <w:szCs w:val="22"/>
          <w:lang w:val="ro-RO"/>
        </w:rPr>
        <w:t>solicita rezilierea contractului</w:t>
      </w:r>
      <w:r>
        <w:rPr>
          <w:rFonts w:ascii="Tahoma" w:hAnsi="Tahoma" w:cs="Tahoma"/>
          <w:sz w:val="22"/>
          <w:szCs w:val="22"/>
          <w:lang w:val="ro-RO"/>
        </w:rPr>
        <w:t xml:space="preserve"> fără preaviz</w:t>
      </w:r>
      <w:r w:rsidRPr="009B2DD3">
        <w:rPr>
          <w:rFonts w:ascii="Tahoma" w:hAnsi="Tahoma" w:cs="Tahoma"/>
          <w:sz w:val="22"/>
          <w:szCs w:val="22"/>
          <w:lang w:val="ro-RO"/>
        </w:rPr>
        <w:t xml:space="preserve"> </w:t>
      </w:r>
      <w:r>
        <w:rPr>
          <w:rFonts w:ascii="Tahoma" w:hAnsi="Tahoma" w:cs="Tahoma"/>
          <w:sz w:val="22"/>
          <w:szCs w:val="22"/>
          <w:lang w:val="ro-RO"/>
        </w:rPr>
        <w:t>și fără plata penalităților</w:t>
      </w:r>
      <w:r w:rsidRPr="00D74F26">
        <w:rPr>
          <w:rFonts w:ascii="Tahoma" w:hAnsi="Tahoma" w:cs="Tahoma"/>
          <w:sz w:val="22"/>
          <w:szCs w:val="22"/>
          <w:lang w:val="ro-RO"/>
        </w:rPr>
        <w:t>.</w:t>
      </w:r>
    </w:p>
    <w:p w14:paraId="0847C6FE" w14:textId="77777777" w:rsidR="00F72DE3" w:rsidRDefault="00F72DE3" w:rsidP="00F72DE3">
      <w:pPr>
        <w:rPr>
          <w:rFonts w:ascii="Tahoma" w:hAnsi="Tahoma" w:cs="Tahoma"/>
          <w:b/>
          <w:bCs/>
          <w:highlight w:val="lightGray"/>
          <w:lang w:val="ro-RO"/>
        </w:rPr>
      </w:pPr>
    </w:p>
    <w:p w14:paraId="2F582487" w14:textId="77777777" w:rsidR="00C3411E" w:rsidRPr="00F72DE3" w:rsidRDefault="00C3411E">
      <w:pPr>
        <w:jc w:val="both"/>
        <w:rPr>
          <w:rFonts w:ascii="Tahoma" w:hAnsi="Tahoma" w:cs="Tahoma"/>
          <w:lang w:val="ro-RO"/>
        </w:rPr>
      </w:pPr>
    </w:p>
    <w:sectPr w:rsidR="00C3411E" w:rsidRPr="00F72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E2D4F"/>
    <w:multiLevelType w:val="hybridMultilevel"/>
    <w:tmpl w:val="E556C114"/>
    <w:lvl w:ilvl="0" w:tplc="B3EE372A">
      <w:start w:val="1"/>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1B"/>
    <w:rsid w:val="00205CF7"/>
    <w:rsid w:val="00293B4B"/>
    <w:rsid w:val="003D6166"/>
    <w:rsid w:val="00434C1B"/>
    <w:rsid w:val="007774E5"/>
    <w:rsid w:val="008C2CCF"/>
    <w:rsid w:val="00C3411E"/>
    <w:rsid w:val="00DF6918"/>
    <w:rsid w:val="00F7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3E28"/>
  <w15:chartTrackingRefBased/>
  <w15:docId w15:val="{FEB9A8BB-81C9-4094-8B8F-037C78C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6918"/>
    <w:pPr>
      <w:spacing w:after="0" w:line="240" w:lineRule="auto"/>
      <w:jc w:val="center"/>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rsid w:val="00DF6918"/>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Utulete</dc:creator>
  <cp:keywords/>
  <dc:description/>
  <cp:lastModifiedBy>Andreea Utulete</cp:lastModifiedBy>
  <cp:revision>7</cp:revision>
  <dcterms:created xsi:type="dcterms:W3CDTF">2022-03-22T14:14:00Z</dcterms:created>
  <dcterms:modified xsi:type="dcterms:W3CDTF">2022-03-22T14:52:00Z</dcterms:modified>
</cp:coreProperties>
</file>